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00CCCA53" w:rsidR="00462FA7" w:rsidRPr="004C6CFD" w:rsidRDefault="00C91AEF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1AEF">
              <w:rPr>
                <w:rFonts w:asciiTheme="minorHAnsi" w:hAnsiTheme="minorHAnsi" w:cstheme="minorHAnsi"/>
                <w:b/>
                <w:bCs/>
              </w:rPr>
              <w:t>Evaluate Novel and Emerging PTSD Treatments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65A" w14:textId="77777777" w:rsidR="004F6C48" w:rsidRDefault="004F6C48" w:rsidP="003F4913">
      <w:pPr>
        <w:spacing w:after="0" w:line="240" w:lineRule="auto"/>
      </w:pPr>
      <w:r>
        <w:separator/>
      </w:r>
    </w:p>
  </w:endnote>
  <w:endnote w:type="continuationSeparator" w:id="0">
    <w:p w14:paraId="66854AA6" w14:textId="77777777" w:rsidR="004F6C48" w:rsidRDefault="004F6C48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C1BF" w14:textId="77777777" w:rsidR="004F6C48" w:rsidRDefault="004F6C48" w:rsidP="003F4913">
      <w:pPr>
        <w:spacing w:after="0" w:line="240" w:lineRule="auto"/>
      </w:pPr>
      <w:r>
        <w:separator/>
      </w:r>
    </w:p>
  </w:footnote>
  <w:footnote w:type="continuationSeparator" w:id="0">
    <w:p w14:paraId="7643C396" w14:textId="77777777" w:rsidR="004F6C48" w:rsidRDefault="004F6C48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75C2B"/>
    <w:rsid w:val="002A2DEF"/>
    <w:rsid w:val="002B23D6"/>
    <w:rsid w:val="002B33C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5725E"/>
    <w:rsid w:val="00462FA7"/>
    <w:rsid w:val="00490DAC"/>
    <w:rsid w:val="004977B1"/>
    <w:rsid w:val="004A23CD"/>
    <w:rsid w:val="004C6CFD"/>
    <w:rsid w:val="004F67BC"/>
    <w:rsid w:val="004F6C48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34E76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91AEF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2</cp:revision>
  <cp:lastPrinted>2023-08-16T18:43:00Z</cp:lastPrinted>
  <dcterms:created xsi:type="dcterms:W3CDTF">2025-05-23T18:02:00Z</dcterms:created>
  <dcterms:modified xsi:type="dcterms:W3CDTF">2025-05-23T18:02:00Z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