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7AF306C8" w:rsidR="00462FA7" w:rsidRPr="00645D40" w:rsidRDefault="00645D40" w:rsidP="0088655C">
            <w:pPr>
              <w:spacing w:before="150"/>
              <w:jc w:val="center"/>
              <w:rPr>
                <w:b/>
                <w:bCs/>
                <w:sz w:val="24"/>
                <w:szCs w:val="24"/>
              </w:rPr>
            </w:pPr>
            <w:r w:rsidRPr="00645D40">
              <w:rPr>
                <w:b/>
                <w:bCs/>
                <w:sz w:val="24"/>
                <w:szCs w:val="24"/>
              </w:rPr>
              <w:t>Analyse de 2021 des Cohortes santé et environnement du recensement canadien (</w:t>
            </w:r>
            <w:proofErr w:type="spellStart"/>
            <w:r w:rsidRPr="00645D40">
              <w:rPr>
                <w:b/>
                <w:bCs/>
                <w:sz w:val="24"/>
                <w:szCs w:val="24"/>
              </w:rPr>
              <w:t>CSERCan</w:t>
            </w:r>
            <w:proofErr w:type="spellEnd"/>
            <w:r w:rsidRPr="00645D40">
              <w:rPr>
                <w:b/>
                <w:bCs/>
                <w:sz w:val="24"/>
                <w:szCs w:val="24"/>
              </w:rPr>
              <w:t>)</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5378A"/>
    <w:rsid w:val="000B1BC6"/>
    <w:rsid w:val="000C0508"/>
    <w:rsid w:val="00107237"/>
    <w:rsid w:val="00126919"/>
    <w:rsid w:val="001939E0"/>
    <w:rsid w:val="001C7E99"/>
    <w:rsid w:val="00201564"/>
    <w:rsid w:val="002169EA"/>
    <w:rsid w:val="00227BD5"/>
    <w:rsid w:val="0024573D"/>
    <w:rsid w:val="002B23D6"/>
    <w:rsid w:val="002B276A"/>
    <w:rsid w:val="002B33C8"/>
    <w:rsid w:val="002D3778"/>
    <w:rsid w:val="00341285"/>
    <w:rsid w:val="0037386D"/>
    <w:rsid w:val="00374E1A"/>
    <w:rsid w:val="00391F24"/>
    <w:rsid w:val="003B6DA6"/>
    <w:rsid w:val="003C78AA"/>
    <w:rsid w:val="003C7EB2"/>
    <w:rsid w:val="003F4913"/>
    <w:rsid w:val="0043348A"/>
    <w:rsid w:val="00446A72"/>
    <w:rsid w:val="00462FA7"/>
    <w:rsid w:val="00490DAC"/>
    <w:rsid w:val="004977B1"/>
    <w:rsid w:val="004A23CD"/>
    <w:rsid w:val="00530FFD"/>
    <w:rsid w:val="00594EA6"/>
    <w:rsid w:val="005E6E42"/>
    <w:rsid w:val="0062668E"/>
    <w:rsid w:val="00645D40"/>
    <w:rsid w:val="00672057"/>
    <w:rsid w:val="0067676E"/>
    <w:rsid w:val="00676F17"/>
    <w:rsid w:val="00684865"/>
    <w:rsid w:val="006E138D"/>
    <w:rsid w:val="006E7407"/>
    <w:rsid w:val="00715805"/>
    <w:rsid w:val="00797D02"/>
    <w:rsid w:val="007E2281"/>
    <w:rsid w:val="007F588D"/>
    <w:rsid w:val="00851EDF"/>
    <w:rsid w:val="0088655C"/>
    <w:rsid w:val="00886CC5"/>
    <w:rsid w:val="008A4D07"/>
    <w:rsid w:val="008B1E5E"/>
    <w:rsid w:val="008E069D"/>
    <w:rsid w:val="008F17FB"/>
    <w:rsid w:val="00936BD1"/>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61681"/>
    <w:rsid w:val="00F80D8F"/>
    <w:rsid w:val="00F92D7B"/>
    <w:rsid w:val="00F9617E"/>
    <w:rsid w:val="00FA0783"/>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4089</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4</cp:revision>
  <cp:lastPrinted>2023-08-17T11:57:00Z</cp:lastPrinted>
  <dcterms:created xsi:type="dcterms:W3CDTF">2025-10-24T14:58:00Z</dcterms:created>
  <dcterms:modified xsi:type="dcterms:W3CDTF">2025-10-24T14:59:00Z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